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Charte d’usage de l’IA</w:t>
      </w:r>
    </w:p>
    <w:p>
      <w:r>
        <w:t>[Nom de l’organisation]</w:t>
      </w:r>
    </w:p>
    <w:p>
      <w:r>
        <w:t>Version : [numéro]  •  Entrée en application : [date]</w:t>
        <w:br/>
        <w:t>Responsable de la charte : [fonction et contact]</w:t>
        <w:br/>
        <w:t>Validation interne : [nom / fonction / date]</w:t>
      </w:r>
    </w:p>
    <w:p>
      <w:pPr>
        <w:pStyle w:val="Heading1"/>
      </w:pPr>
      <w:r>
        <w:t>Avant diffusion</w:t>
      </w:r>
    </w:p>
    <w:p>
      <w:r>
        <w:t>Remplacez tous les champs entre crochets. Faites examiner les règles selon vos activités, vos contrats et les données traitées, puis retirez les notes « À adapter ». Ce modèle est une base d’organisation ; il ne constitue ni un avis juridique, ni une validation de conformité. Aucune revue juridique externe n’est revendiquée.</w:t>
      </w:r>
    </w:p>
    <w:p>
      <w:pPr>
        <w:pStyle w:val="Heading2"/>
      </w:pPr>
      <w:r>
        <w:t>1. Objet et personnes concernées</w:t>
      </w:r>
    </w:p>
    <w:p>
      <w:r>
        <w:t>Cette charte encadre les usages professionnels de l’intelligence artificielle chez [organisation]. Elle concerne [salariés, prestataires et équipes concernés] et s’applique aux outils autorisés dans le périmètre défini ci-dessous. Elle complète les règles de confidentialité, de sécurité et de protection des données de l’organisation.</w:t>
      </w:r>
    </w:p>
    <w:p>
      <w:pPr>
        <w:pStyle w:val="Heading2"/>
      </w:pPr>
      <w:r>
        <w:t>2. Outils et finalités autorisés</w:t>
      </w:r>
    </w:p>
    <w:p>
      <w:r>
        <w:t>Les outils autorisés sont [outil, fournisseur, offre et type de compte], pour [finalités précises]. Un nouvel outil, une nouvelle finalité ou un changement important de paramètres doit être soumis à [responsable] avant utilisation. Les comptes et accès sont gérés selon [procédure].</w:t>
      </w:r>
    </w:p>
    <w:p>
      <w:r>
        <w:rPr>
          <w:i/>
          <w:sz w:val="20"/>
        </w:rPr>
        <w:t>À adapter : Une marque ne suffit pas : précisez le service et l’offre. Un outil autorisé pour rédiger un brouillon ne l’est pas automatiquement pour classer des candidats.</w:t>
      </w:r>
    </w:p>
    <w:p>
      <w:pPr>
        <w:pStyle w:val="Heading2"/>
      </w:pPr>
      <w:r>
        <w:t>3. Données saisies</w:t>
      </w:r>
    </w:p>
    <w:p>
      <w:r>
        <w:t>Chaque utilisateur limite les informations transmises à ce qui est nécessaire à la tâche. Les catégories suivantes sont exclues : [catégories]. Toute saisie de données personnelles ou confidentielles doit respecter [procédure de validation]. En cas de doute, l’utilisateur suspend la saisie et contacte [référent].</w:t>
      </w:r>
    </w:p>
    <w:p>
      <w:r>
        <w:rPr>
          <w:i/>
          <w:sz w:val="20"/>
        </w:rPr>
        <w:t>À adapter : Définissez les exclusions selon vos contrats et votre analyse des services. Retirer un nom ne garantit pas l’anonymisation.</w:t>
      </w:r>
    </w:p>
    <w:p>
      <w:r>
        <w:br w:type="page"/>
      </w:r>
    </w:p>
    <w:p>
      <w:pPr>
        <w:pStyle w:val="Title"/>
      </w:pPr>
      <w:r>
        <w:t>Contrôles et responsabilités</w:t>
      </w:r>
    </w:p>
    <w:p>
      <w:pPr>
        <w:pStyle w:val="Heading2"/>
      </w:pPr>
      <w:r>
        <w:t>4. Relecture et décisions</w:t>
      </w:r>
    </w:p>
    <w:p>
      <w:r>
        <w:t>Les résultats de l’IA sont des éléments de travail. [Fonction compétente] vérifie les faits, chiffres, références, droits de réutilisation et adéquation au contexte avant [publication ou décision]. Les usages concernant des personnes ou des décisions sensibles sont soumis à [circuit spécialisé].</w:t>
      </w:r>
    </w:p>
    <w:p>
      <w:r>
        <w:rPr>
          <w:i/>
          <w:sz w:val="20"/>
        </w:rPr>
        <w:t>À adapter : Précisez qui peut corriger ou refuser un résultat. Une validation automatique ou formelle ne décrit pas un contrôle effectif.</w:t>
      </w:r>
    </w:p>
    <w:p>
      <w:pPr>
        <w:pStyle w:val="Heading2"/>
      </w:pPr>
      <w:r>
        <w:t>5. Clients, tiers et transparence</w:t>
      </w:r>
    </w:p>
    <w:p>
      <w:r>
        <w:t>Le responsable du livrable vérifie les engagements pris avec le client et les règles applicables à la diffusion. Les modalités d’information sur l’usage de l’IA sont définies pour [types de contenus ou interactions], selon [procédure]. Une question sur l’information du public est transmise à [référent] avant diffusion.</w:t>
      </w:r>
    </w:p>
    <w:p>
      <w:r>
        <w:rPr>
          <w:i/>
          <w:sz w:val="20"/>
        </w:rPr>
        <w:t>À adapter : Ne supposez pas que tous les contenus relèvent de la même obligation de marquage. Distinguez les engagements commerciaux et les obligations légales.</w:t>
      </w:r>
    </w:p>
    <w:p>
      <w:pPr>
        <w:pStyle w:val="Heading2"/>
      </w:pPr>
      <w:r>
        <w:t>6. Registre et preuves</w:t>
      </w:r>
    </w:p>
    <w:p>
      <w:r>
        <w:t>[Responsable] tient à jour le registre des usages. Chaque finalité comporte un outil, un propriétaire, les catégories de données, les personnes concernées, un contrôle humain et une prochaine revue. Les décisions et documents utiles sont conservés dans [espace interne] avec des accès adaptés.</w:t>
      </w:r>
    </w:p>
    <w:p>
      <w:r>
        <w:rPr>
          <w:i/>
          <w:sz w:val="20"/>
        </w:rPr>
        <w:t>À adapter : Le registre proposé par Dailigence est un outil interne. Il ne remplace pas les documentations ou enregistrements exigibles pour un cas particulier.</w:t>
      </w:r>
    </w:p>
    <w:p>
      <w:pPr>
        <w:pStyle w:val="Heading2"/>
      </w:pPr>
      <w:r>
        <w:t>7. Incident ou résultat préoccupant</w:t>
      </w:r>
    </w:p>
    <w:p>
      <w:r>
        <w:t>L’utilisateur arrête l’usage concerné et prévient [contact / canal] s’il constate une divulgation possible, un accès inapproprié, une réponse dommageable ou une erreur importante. Il conserve les informations nécessaires à l’analyse dans [espace sécurisé]. [Responsable] organise l’examen, les mesures correctives et, si nécessaire, l’analyse des obligations de notification.</w:t>
      </w:r>
    </w:p>
    <w:p>
      <w:r>
        <w:rPr>
          <w:i/>
          <w:sz w:val="20"/>
        </w:rPr>
        <w:t>À adapter : Définissez un canal utilisable et les personnes de relais. Ne promettez pas qu’une suppression de conversation élimine toutes les copies.</w:t>
      </w:r>
    </w:p>
    <w:p>
      <w:r>
        <w:br w:type="page"/>
      </w:r>
    </w:p>
    <w:p>
      <w:pPr>
        <w:pStyle w:val="Title"/>
      </w:pPr>
      <w:r>
        <w:t>Mise en œuvre et suivi</w:t>
      </w:r>
    </w:p>
    <w:p>
      <w:pPr>
        <w:pStyle w:val="Heading2"/>
      </w:pPr>
      <w:r>
        <w:t>8. Accompagnement des utilisateurs</w:t>
      </w:r>
    </w:p>
    <w:p>
      <w:r>
        <w:t>[Responsable] organise un accompagnement adapté aux usages : présentation des outils autorisés, données exclues, exercices de vérification et procédure de signalement. Les collaborateurs disposent de la charte et peuvent poser leurs questions à [contact].</w:t>
      </w:r>
    </w:p>
    <w:p>
      <w:r>
        <w:rPr>
          <w:i/>
          <w:sz w:val="20"/>
        </w:rPr>
        <w:t>À adapter : Adaptez le format aux besoins des équipes. Ne présentez pas une durée standard de formation comme une exigence universelle.</w:t>
      </w:r>
    </w:p>
    <w:p>
      <w:pPr>
        <w:pStyle w:val="Heading2"/>
      </w:pPr>
      <w:r>
        <w:t>9. Révision et diffusion</w:t>
      </w:r>
    </w:p>
    <w:p>
      <w:r>
        <w:t>La charte est réexaminée le [date] et lors d’un changement significatif d’outil, de finalité, de contrat ou de règles applicables. [Responsable] conserve l’historique des versions et informe [équipes] des modifications. La version en vigueur est accessible à [emplacement].</w:t>
      </w:r>
    </w:p>
    <w:p>
      <w:pPr>
        <w:pStyle w:val="Heading2"/>
      </w:pPr>
      <w:r>
        <w:t>10. Prise de connaissance</w:t>
      </w:r>
    </w:p>
    <w:p>
      <w:r>
        <w:t>Les modalités de diffusion et de prise de connaissance sont [modalités]. Toute question sur l’application de cette charte est adressée à [contact]. Les conséquences d’un non-respect sont examinées dans le cadre des règles internes et du droit applicable.</w:t>
      </w:r>
    </w:p>
    <w:p>
      <w:r>
        <w:rPr>
          <w:i/>
          <w:sz w:val="20"/>
        </w:rPr>
        <w:t>À adapter : Faites adapter les dispositions relatives au personnel au contexte de votre organisation ; ce modèle ne crée pas un régime disciplinaire.</w:t>
      </w:r>
    </w:p>
    <w:p>
      <w:pPr>
        <w:pStyle w:val="Heading1"/>
      </w:pPr>
      <w:r>
        <w:t>Validation et prochaine revue</w:t>
      </w:r>
    </w:p>
    <w:p>
      <w:r>
        <w:t>Validé par : [nom et fonction]</w:t>
        <w:br/>
        <w:t>Date : [date]   Signature / référence de décision : [référence]</w:t>
        <w:br/>
        <w:t>Prochaine revue : [date]   Responsable : [fonction]</w:t>
      </w:r>
    </w:p>
    <w:p>
      <w:pPr>
        <w:pStyle w:val="Heading1"/>
      </w:pPr>
      <w:r>
        <w:t>Ressources et provenance du modèle</w:t>
      </w:r>
    </w:p>
    <w:p>
      <w:r>
        <w:t>Modèle Dailigence, édité par Kagegusa. Adaptation interne et utilisation en atelier autorisées. Pour retrouver la version à jour :</w:t>
        <w:br/>
        <w:t>https://dailigence.com/modeles/charte-chatgpt-entreprise</w:t>
        <w:br/>
        <w:t>Registre gratuit : https://dailigence.com/registre-ia</w:t>
        <w:br/>
        <w:t>Méthode et limites : https://dailigence.com/methodologie</w:t>
      </w:r>
    </w:p>
    <w:p>
      <w:pPr>
        <w:spacing w:after="0"/>
      </w:pPr>
      <w:r>
        <w:rPr>
          <w:sz w:val="18"/>
        </w:rPr>
        <w:t>Référence pratique : CNIL, « Utiliser l’IA générative dans les TPE et PME ».</w:t>
        <w:br/>
        <w:t>https://www.cnil.fr/fr/utiliser-lia-generative-dans-les-tpe-et-pme</w:t>
      </w:r>
    </w:p>
    <w:sectPr w:rsidR="00FC693F" w:rsidRPr="0006063C" w:rsidSect="00034616">
      <w:headerReference w:type="default" r:id="rId9"/>
      <w:footerReference w:type="default" r:id="rId10"/>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Charte IA • Version du modèle : 5 octobre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DAILIGENCE  |  MODÈLE À PERSONNALISER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before="24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d’usage de l’IA : modèle à personnaliser</dc:title>
  <dc:subject>Modèle interne informatif pour PME</dc:subject>
  <dc:creator>Dailigence</dc:creator>
  <cp:keywords/>
  <dc:description>generated by python-docx</dc:description>
  <cp:lastModifiedBy/>
  <cp:revision>1</cp:revision>
  <dcterms:created xsi:type="dcterms:W3CDTF">2013-12-23T23:15:00Z</dcterms:created>
  <dcterms:modified xsi:type="dcterms:W3CDTF">2013-12-23T23:15:00Z</dcterms:modified>
  <cp:category/>
</cp:coreProperties>
</file>